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4B4F6" w14:textId="77777777" w:rsidR="007C622E" w:rsidRPr="004B7C7B" w:rsidRDefault="007C622E">
      <w:pPr>
        <w:rPr>
          <w:rFonts w:ascii="Arial" w:hAnsi="Arial" w:cs="Arial"/>
          <w:sz w:val="20"/>
          <w:szCs w:val="20"/>
        </w:rPr>
      </w:pPr>
      <w:r w:rsidRPr="004B7C7B">
        <w:rPr>
          <w:rFonts w:ascii="Arial" w:hAnsi="Arial" w:cs="Arial"/>
          <w:sz w:val="20"/>
          <w:szCs w:val="20"/>
        </w:rPr>
        <w:t xml:space="preserve">Dear Referring Physician Partner, </w:t>
      </w:r>
    </w:p>
    <w:p w14:paraId="74FD108A" w14:textId="3424915B" w:rsidR="007C622E" w:rsidRPr="004B7C7B" w:rsidRDefault="007C622E">
      <w:pPr>
        <w:rPr>
          <w:rFonts w:ascii="Arial" w:hAnsi="Arial" w:cs="Arial"/>
          <w:sz w:val="20"/>
          <w:szCs w:val="20"/>
        </w:rPr>
      </w:pPr>
      <w:r w:rsidRPr="004B7C7B">
        <w:rPr>
          <w:rFonts w:ascii="Arial" w:hAnsi="Arial" w:cs="Arial"/>
          <w:sz w:val="20"/>
          <w:szCs w:val="20"/>
        </w:rPr>
        <w:t xml:space="preserve">We are delighted to announce the availability of TBS Osteo, at our medical center - an advanced software set to significantly increase our screening capabilities for osteoporosis and associated fracture risk. This state-of-the-art software has been seamlessly integrated into our imaging services, providing you with an invaluable tool for enhanced assessment and effective management of osteoporosis. This letter serves as an initial overview of the TBS (trabecular bone score) software. We anticipate the integration of TBS Osteo will not only advance our patient care but also support your medical practice. </w:t>
      </w:r>
    </w:p>
    <w:p w14:paraId="21894227" w14:textId="79E916A3" w:rsidR="00E2002B" w:rsidRPr="004B7C7B" w:rsidRDefault="007C622E">
      <w:pPr>
        <w:rPr>
          <w:rFonts w:ascii="Arial" w:hAnsi="Arial" w:cs="Arial"/>
          <w:sz w:val="20"/>
          <w:szCs w:val="20"/>
        </w:rPr>
      </w:pPr>
      <w:r w:rsidRPr="004B7C7B">
        <w:rPr>
          <w:rFonts w:ascii="Arial" w:hAnsi="Arial" w:cs="Arial"/>
          <w:sz w:val="20"/>
          <w:szCs w:val="20"/>
        </w:rPr>
        <w:t>TBS Osteo is currently the only tool available that offers a clinically validated index of bone microarchitecture, known as the trabecular bone score (TBS), alongside the bone mineral density (BMD). The synergy of these two parameters facilitates an enhanced identification of patients at high risk of osteoporotic fracture. A crucial aspect of TBS Osteo is that it accomplishes this evaluation without additional radiation exposure or extending the duration of the imaging process for your patients.</w:t>
      </w:r>
    </w:p>
    <w:p w14:paraId="5CBA7513" w14:textId="7E166F76" w:rsidR="00E2002B" w:rsidRPr="004B7C7B" w:rsidRDefault="007C622E">
      <w:pPr>
        <w:rPr>
          <w:rFonts w:ascii="Arial" w:hAnsi="Arial" w:cs="Arial"/>
          <w:sz w:val="20"/>
          <w:szCs w:val="20"/>
        </w:rPr>
      </w:pPr>
      <w:r w:rsidRPr="004B7C7B">
        <w:rPr>
          <w:rFonts w:ascii="Arial" w:hAnsi="Arial" w:cs="Arial"/>
          <w:sz w:val="20"/>
          <w:szCs w:val="20"/>
        </w:rPr>
        <w:t>As you are aware, the World Health Organization (WHO) defines osteoporosis not only as a reduction in BMD but also as a deterioration of bone microarchitecture, both of which can lead to increased bone fragility and fracture. While BMD evaluations are effective at identifying some patients at risk, research suggests that up to 50% of fragility fractures occur in patients diagnosed as "non-osteoporotic" based on BMD alone</w:t>
      </w:r>
      <w:r w:rsidRPr="009869B5">
        <w:rPr>
          <w:rFonts w:ascii="Arial" w:hAnsi="Arial" w:cs="Arial"/>
          <w:sz w:val="20"/>
          <w:szCs w:val="20"/>
          <w:vertAlign w:val="superscript"/>
        </w:rPr>
        <w:t>1</w:t>
      </w:r>
      <w:r w:rsidRPr="004B7C7B">
        <w:rPr>
          <w:rFonts w:ascii="Arial" w:hAnsi="Arial" w:cs="Arial"/>
          <w:sz w:val="20"/>
          <w:szCs w:val="20"/>
        </w:rPr>
        <w:t>. By considering the full definition of osteoporosis, the TBS analysis facilitated by TBS Osteo, enables an estimate of bone microarchitecture and thereby identifies at-risk patients who might not have been identified using BMD alone.</w:t>
      </w:r>
    </w:p>
    <w:p w14:paraId="7B8DC562" w14:textId="0ABC3402" w:rsidR="002A51BC" w:rsidRPr="004B7C7B" w:rsidRDefault="007C622E">
      <w:pPr>
        <w:rPr>
          <w:rFonts w:ascii="Arial" w:hAnsi="Arial" w:cs="Arial"/>
          <w:sz w:val="20"/>
          <w:szCs w:val="20"/>
        </w:rPr>
      </w:pPr>
      <w:r w:rsidRPr="004B7C7B">
        <w:rPr>
          <w:rFonts w:ascii="Arial" w:hAnsi="Arial" w:cs="Arial"/>
          <w:sz w:val="20"/>
          <w:szCs w:val="20"/>
        </w:rPr>
        <w:t xml:space="preserve">To aid your familiarization with TBS reports, please find a sample report attached and the corresponding interpretation grid. Additionally, there are eLearning resources and a </w:t>
      </w:r>
      <w:hyperlink r:id="rId4" w:history="1">
        <w:r w:rsidRPr="0056158F">
          <w:rPr>
            <w:rStyle w:val="Hyperlink"/>
            <w:rFonts w:ascii="Arial" w:hAnsi="Arial" w:cs="Arial"/>
            <w:sz w:val="20"/>
            <w:szCs w:val="20"/>
          </w:rPr>
          <w:t>webinar demonstrating TBS's value in clinical practice</w:t>
        </w:r>
      </w:hyperlink>
      <w:r w:rsidRPr="004B7C7B">
        <w:rPr>
          <w:rFonts w:ascii="Arial" w:hAnsi="Arial" w:cs="Arial"/>
          <w:sz w:val="20"/>
          <w:szCs w:val="20"/>
        </w:rPr>
        <w:t xml:space="preserve">, available on the </w:t>
      </w:r>
      <w:hyperlink r:id="rId5" w:history="1">
        <w:r w:rsidRPr="0056158F">
          <w:rPr>
            <w:rStyle w:val="Hyperlink"/>
            <w:rFonts w:ascii="Arial" w:hAnsi="Arial" w:cs="Arial"/>
            <w:sz w:val="20"/>
            <w:szCs w:val="20"/>
          </w:rPr>
          <w:t>Medimaps Group’s website</w:t>
        </w:r>
      </w:hyperlink>
      <w:r w:rsidRPr="004B7C7B">
        <w:rPr>
          <w:rFonts w:ascii="Arial" w:hAnsi="Arial" w:cs="Arial"/>
          <w:sz w:val="20"/>
          <w:szCs w:val="20"/>
        </w:rPr>
        <w:t>.</w:t>
      </w:r>
    </w:p>
    <w:p w14:paraId="675D7CC7" w14:textId="3DBEF2A2" w:rsidR="002A51BC" w:rsidRPr="004B7C7B" w:rsidRDefault="007C622E">
      <w:pPr>
        <w:rPr>
          <w:rFonts w:ascii="Arial" w:hAnsi="Arial" w:cs="Arial"/>
          <w:sz w:val="20"/>
          <w:szCs w:val="20"/>
        </w:rPr>
      </w:pPr>
      <w:r w:rsidRPr="004B7C7B">
        <w:rPr>
          <w:rFonts w:ascii="Arial" w:hAnsi="Arial" w:cs="Arial"/>
          <w:sz w:val="20"/>
          <w:szCs w:val="20"/>
        </w:rPr>
        <w:t>TBS Osteo is underpinned by strong scientific evidence, with over 1,200 published scientific studies and recognized in more than 30 national and international guidelines, including the International Society for Clinical Densitometry (ISCD). In July 2023, an international Expert Working Group convened by the European Society for Clinical and Economic Aspects of Osteoporosis and Osteoarthritis (ESCEO) and International Osteoporosis Foundation (IOF), under the auspices of the WHO Collaborating Centre for Epidemiology of Musculoskeletal Health and Aging, published 22 expert statements on the role of TBS in clinical practice for fracture prediction in primary and secondary osteoporosis, and for treatment initiation and monitoring</w:t>
      </w:r>
      <w:r w:rsidRPr="009869B5">
        <w:rPr>
          <w:rFonts w:ascii="Arial" w:hAnsi="Arial" w:cs="Arial"/>
          <w:sz w:val="20"/>
          <w:szCs w:val="20"/>
          <w:vertAlign w:val="superscript"/>
        </w:rPr>
        <w:t>2</w:t>
      </w:r>
      <w:r w:rsidR="002A51BC" w:rsidRPr="004B7C7B">
        <w:rPr>
          <w:rFonts w:ascii="Arial" w:hAnsi="Arial" w:cs="Arial"/>
          <w:sz w:val="20"/>
          <w:szCs w:val="20"/>
        </w:rPr>
        <w:t>.</w:t>
      </w:r>
    </w:p>
    <w:p w14:paraId="56CBEA63" w14:textId="616F18ED" w:rsidR="002A51BC" w:rsidRPr="004B7C7B" w:rsidRDefault="007C622E">
      <w:pPr>
        <w:rPr>
          <w:rFonts w:ascii="Arial" w:hAnsi="Arial" w:cs="Arial"/>
          <w:sz w:val="20"/>
          <w:szCs w:val="20"/>
        </w:rPr>
      </w:pPr>
      <w:r w:rsidRPr="004B7C7B">
        <w:rPr>
          <w:rFonts w:ascii="Arial" w:hAnsi="Arial" w:cs="Arial"/>
          <w:sz w:val="20"/>
          <w:szCs w:val="20"/>
        </w:rPr>
        <w:t>We encourage you to include TBS Osteo alongside your DXA scans with the goal of advancing osteoporosis assessment and management for the ultimate benefit of your patients.</w:t>
      </w:r>
    </w:p>
    <w:p w14:paraId="5C7AC1AF" w14:textId="77777777" w:rsidR="002A51BC" w:rsidRDefault="007C622E">
      <w:pPr>
        <w:rPr>
          <w:rFonts w:ascii="Arial" w:hAnsi="Arial" w:cs="Arial"/>
          <w:sz w:val="20"/>
          <w:szCs w:val="20"/>
        </w:rPr>
      </w:pPr>
      <w:r w:rsidRPr="004B7C7B">
        <w:rPr>
          <w:rFonts w:ascii="Arial" w:hAnsi="Arial" w:cs="Arial"/>
          <w:sz w:val="20"/>
          <w:szCs w:val="20"/>
        </w:rPr>
        <w:t xml:space="preserve">Best regards, </w:t>
      </w:r>
    </w:p>
    <w:p w14:paraId="14DA6FFA" w14:textId="77777777" w:rsidR="004B7C7B" w:rsidRPr="004B7C7B" w:rsidRDefault="004B7C7B">
      <w:pPr>
        <w:rPr>
          <w:rFonts w:ascii="Arial" w:hAnsi="Arial" w:cs="Arial"/>
          <w:sz w:val="20"/>
          <w:szCs w:val="20"/>
        </w:rPr>
      </w:pPr>
    </w:p>
    <w:p w14:paraId="7DF4F107" w14:textId="77777777" w:rsidR="00051FD1" w:rsidRDefault="007C622E">
      <w:pPr>
        <w:rPr>
          <w:rFonts w:ascii="Arial" w:hAnsi="Arial" w:cs="Arial"/>
          <w:i/>
          <w:iCs/>
          <w:sz w:val="20"/>
          <w:szCs w:val="20"/>
        </w:rPr>
      </w:pPr>
      <w:r w:rsidRPr="004B7C7B">
        <w:rPr>
          <w:rFonts w:ascii="Arial" w:hAnsi="Arial" w:cs="Arial"/>
          <w:i/>
          <w:iCs/>
          <w:sz w:val="20"/>
          <w:szCs w:val="20"/>
        </w:rPr>
        <w:t>Name of the center</w:t>
      </w:r>
    </w:p>
    <w:p w14:paraId="0A1BDBB0" w14:textId="77777777" w:rsidR="004B7C7B" w:rsidRDefault="004B7C7B">
      <w:pPr>
        <w:rPr>
          <w:rFonts w:ascii="Arial" w:hAnsi="Arial" w:cs="Arial"/>
          <w:i/>
          <w:iCs/>
          <w:sz w:val="20"/>
          <w:szCs w:val="20"/>
        </w:rPr>
      </w:pPr>
    </w:p>
    <w:p w14:paraId="3FA6CDFF" w14:textId="61611E75" w:rsidR="004B7C7B" w:rsidRPr="004B7C7B" w:rsidRDefault="00043001">
      <w:pPr>
        <w:rPr>
          <w:rFonts w:ascii="Arial" w:hAnsi="Arial" w:cs="Arial"/>
          <w:sz w:val="20"/>
          <w:szCs w:val="20"/>
        </w:rPr>
      </w:pPr>
      <w:r>
        <w:rPr>
          <w:rFonts w:ascii="Arial" w:hAnsi="Arial" w:cs="Arial"/>
          <w:i/>
          <w:iCs/>
          <w:sz w:val="20"/>
          <w:szCs w:val="20"/>
        </w:rPr>
        <w:br/>
      </w:r>
    </w:p>
    <w:p w14:paraId="312B69A5" w14:textId="41C102D2" w:rsidR="00226925" w:rsidRPr="004B7C7B" w:rsidRDefault="007C622E">
      <w:pPr>
        <w:rPr>
          <w:rFonts w:ascii="Arial" w:hAnsi="Arial" w:cs="Arial"/>
          <w:sz w:val="16"/>
          <w:szCs w:val="16"/>
        </w:rPr>
      </w:pPr>
      <w:r w:rsidRPr="004B7C7B">
        <w:rPr>
          <w:rFonts w:ascii="Arial" w:hAnsi="Arial" w:cs="Arial"/>
          <w:sz w:val="16"/>
          <w:szCs w:val="16"/>
        </w:rPr>
        <w:t>[1] Siris E, et al. (2004). Bone Mineral Density Thresholds for Pharmacological Intervention to Prevent Fractures. Arch Intern Med, 164(10):1108-1112.</w:t>
      </w:r>
      <w:r w:rsidR="00051FD1" w:rsidRPr="004B7C7B">
        <w:rPr>
          <w:rFonts w:ascii="Arial" w:hAnsi="Arial" w:cs="Arial"/>
          <w:sz w:val="16"/>
          <w:szCs w:val="16"/>
        </w:rPr>
        <w:br/>
      </w:r>
      <w:r w:rsidRPr="004B7C7B">
        <w:rPr>
          <w:rFonts w:ascii="Arial" w:hAnsi="Arial" w:cs="Arial"/>
          <w:sz w:val="16"/>
          <w:szCs w:val="16"/>
        </w:rPr>
        <w:t>[2] Shevroja E, Reginster JY, Lamy O, Al-Daghri N, Chandran M, Demoux-Baiada A.L, Kohlmeier L, Lecarte M, Messina D, Camargos B, Payer J, Tuzan S, Veronese N, Cooper C, McCloskey E, Harvey N. (2023). Update on the clinical use of trabecular bone score (TBS) in the management of osteoporosis: results of an expert group meeting organized by the European Society for Clinical and Economic Aspects of Osteoporosis, Osteoarthritis and Musculoskeletal Diseases (ESCEO) and the International Osteoporosis Foundation (IOF) under the auspices of World Health Organization (WHO) Collaborating Center for Epidemiology of Musculoskeletal Health and Aging. Osteoporosis International, In press.</w:t>
      </w:r>
    </w:p>
    <w:sectPr w:rsidR="00226925" w:rsidRPr="004B7C7B" w:rsidSect="00376024">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E4"/>
    <w:rsid w:val="00043001"/>
    <w:rsid w:val="00051FD1"/>
    <w:rsid w:val="00226925"/>
    <w:rsid w:val="0023397A"/>
    <w:rsid w:val="00276ADD"/>
    <w:rsid w:val="002A51BC"/>
    <w:rsid w:val="002A6795"/>
    <w:rsid w:val="00376024"/>
    <w:rsid w:val="004834A2"/>
    <w:rsid w:val="004B7C7B"/>
    <w:rsid w:val="0056158F"/>
    <w:rsid w:val="006C7ED6"/>
    <w:rsid w:val="007259B2"/>
    <w:rsid w:val="007C622E"/>
    <w:rsid w:val="007F0AE4"/>
    <w:rsid w:val="008524C4"/>
    <w:rsid w:val="009869B5"/>
    <w:rsid w:val="00C26B72"/>
    <w:rsid w:val="00E2002B"/>
    <w:rsid w:val="00E83F9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6D88"/>
  <w15:chartTrackingRefBased/>
  <w15:docId w15:val="{9E1A89A4-52F3-4139-894A-8D404A9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E4"/>
    <w:rPr>
      <w:rFonts w:eastAsiaTheme="majorEastAsia" w:cstheme="majorBidi"/>
      <w:color w:val="272727" w:themeColor="text1" w:themeTint="D8"/>
    </w:rPr>
  </w:style>
  <w:style w:type="paragraph" w:styleId="Title">
    <w:name w:val="Title"/>
    <w:basedOn w:val="Normal"/>
    <w:next w:val="Normal"/>
    <w:link w:val="TitleChar"/>
    <w:uiPriority w:val="10"/>
    <w:qFormat/>
    <w:rsid w:val="007F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E4"/>
    <w:pPr>
      <w:spacing w:before="160"/>
      <w:jc w:val="center"/>
    </w:pPr>
    <w:rPr>
      <w:i/>
      <w:iCs/>
      <w:color w:val="404040" w:themeColor="text1" w:themeTint="BF"/>
    </w:rPr>
  </w:style>
  <w:style w:type="character" w:customStyle="1" w:styleId="QuoteChar">
    <w:name w:val="Quote Char"/>
    <w:basedOn w:val="DefaultParagraphFont"/>
    <w:link w:val="Quote"/>
    <w:uiPriority w:val="29"/>
    <w:rsid w:val="007F0AE4"/>
    <w:rPr>
      <w:i/>
      <w:iCs/>
      <w:color w:val="404040" w:themeColor="text1" w:themeTint="BF"/>
    </w:rPr>
  </w:style>
  <w:style w:type="paragraph" w:styleId="ListParagraph">
    <w:name w:val="List Paragraph"/>
    <w:basedOn w:val="Normal"/>
    <w:uiPriority w:val="34"/>
    <w:qFormat/>
    <w:rsid w:val="007F0AE4"/>
    <w:pPr>
      <w:ind w:left="720"/>
      <w:contextualSpacing/>
    </w:pPr>
  </w:style>
  <w:style w:type="character" w:styleId="IntenseEmphasis">
    <w:name w:val="Intense Emphasis"/>
    <w:basedOn w:val="DefaultParagraphFont"/>
    <w:uiPriority w:val="21"/>
    <w:qFormat/>
    <w:rsid w:val="007F0AE4"/>
    <w:rPr>
      <w:i/>
      <w:iCs/>
      <w:color w:val="0F4761" w:themeColor="accent1" w:themeShade="BF"/>
    </w:rPr>
  </w:style>
  <w:style w:type="paragraph" w:styleId="IntenseQuote">
    <w:name w:val="Intense Quote"/>
    <w:basedOn w:val="Normal"/>
    <w:next w:val="Normal"/>
    <w:link w:val="IntenseQuoteChar"/>
    <w:uiPriority w:val="30"/>
    <w:qFormat/>
    <w:rsid w:val="007F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AE4"/>
    <w:rPr>
      <w:i/>
      <w:iCs/>
      <w:color w:val="0F4761" w:themeColor="accent1" w:themeShade="BF"/>
    </w:rPr>
  </w:style>
  <w:style w:type="character" w:styleId="IntenseReference">
    <w:name w:val="Intense Reference"/>
    <w:basedOn w:val="DefaultParagraphFont"/>
    <w:uiPriority w:val="32"/>
    <w:qFormat/>
    <w:rsid w:val="007F0AE4"/>
    <w:rPr>
      <w:b/>
      <w:bCs/>
      <w:smallCaps/>
      <w:color w:val="0F4761" w:themeColor="accent1" w:themeShade="BF"/>
      <w:spacing w:val="5"/>
    </w:rPr>
  </w:style>
  <w:style w:type="character" w:styleId="Hyperlink">
    <w:name w:val="Hyperlink"/>
    <w:basedOn w:val="DefaultParagraphFont"/>
    <w:uiPriority w:val="99"/>
    <w:unhideWhenUsed/>
    <w:rsid w:val="0056158F"/>
    <w:rPr>
      <w:color w:val="467886" w:themeColor="hyperlink"/>
      <w:u w:val="single"/>
    </w:rPr>
  </w:style>
  <w:style w:type="character" w:styleId="UnresolvedMention">
    <w:name w:val="Unresolved Mention"/>
    <w:basedOn w:val="DefaultParagraphFont"/>
    <w:uiPriority w:val="99"/>
    <w:semiHidden/>
    <w:unhideWhenUsed/>
    <w:rsid w:val="0056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maps.ai/" TargetMode="External"/><Relationship Id="rId4" Type="http://schemas.openxmlformats.org/officeDocument/2006/relationships/hyperlink" Target="https://www.medimaps.ai/trabecular-bone-score-from-evidence-to-guidelines-for-clinical-practice-webinar-reco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Bidiville</dc:creator>
  <cp:keywords/>
  <dc:description/>
  <cp:lastModifiedBy>Lea Bidiville</cp:lastModifiedBy>
  <cp:revision>11</cp:revision>
  <dcterms:created xsi:type="dcterms:W3CDTF">2024-12-05T09:18:00Z</dcterms:created>
  <dcterms:modified xsi:type="dcterms:W3CDTF">2024-12-05T12:00:00Z</dcterms:modified>
</cp:coreProperties>
</file>